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Unit 1: List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1.  batch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2.  reject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3.  vanish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4.  sloppy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5.  rhythm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6.  blunder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7.  strict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8.  meadow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9.  recover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10.  cleanse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11.  text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12.  mystery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13.  expand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14.  bluff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15.  promptly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16.  initials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17.  statue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18.  polish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19.  somehow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33cc00"/>
          <w:sz w:val="28"/>
          <w:shd w:val="clear" w:fill="f1f8e2"/>
          <w:rtl w:val="0"/>
        </w:rPr>
        <w:t xml:space="preserve">20.  dreadful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1 List 1.docx</dc:title>
</cp:coreProperties>
</file>